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820226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4824B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4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4824B8"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="00CB2ECA" w:rsidRPr="004824B8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4824B8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824B8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4B8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 w:rsidRPr="004824B8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B36361" w:rsidP="00461F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61">
              <w:rPr>
                <w:rFonts w:ascii="Times New Roman" w:hAnsi="Times New Roman" w:cs="Times New Roman"/>
                <w:b/>
                <w:sz w:val="24"/>
                <w:szCs w:val="24"/>
              </w:rPr>
              <w:t>ЛОТ 47-20 ЗК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1F91"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Запрос котировок </w:t>
            </w:r>
          </w:p>
          <w:p w:rsidR="00B37494" w:rsidRPr="004824B8" w:rsidRDefault="004824B8" w:rsidP="00A060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B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6361" w:rsidRPr="00B36361">
              <w:rPr>
                <w:rFonts w:ascii="Times New Roman" w:hAnsi="Times New Roman" w:cs="Times New Roman"/>
                <w:b/>
                <w:sz w:val="24"/>
                <w:szCs w:val="24"/>
              </w:rPr>
              <w:t>Право заключения договора аренды частей нежилых помещений в Тематическом парке «Сочи Парк»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211C0B" w:rsidRDefault="00B36361" w:rsidP="00E20CBD">
            <w:pPr>
              <w:spacing w:line="240" w:lineRule="auto"/>
              <w:ind w:left="29" w:right="1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ул. Нижне-Имеретинская бухта. Тематический парк «Сочи Парк</w:t>
            </w:r>
            <w:bookmarkEnd w:id="0"/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14A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</w:t>
            </w:r>
            <w:r w:rsidR="00C00C86" w:rsidRPr="009115E2">
              <w:rPr>
                <w:i/>
                <w:szCs w:val="24"/>
              </w:rPr>
              <w:lastRenderedPageBreak/>
              <w:t xml:space="preserve">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Арендодателем</w:t>
            </w:r>
            <w:r w:rsidR="00C00C86" w:rsidRPr="009115E2">
              <w:rPr>
                <w:szCs w:val="24"/>
              </w:rPr>
              <w:t xml:space="preserve">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361" w:rsidRDefault="00B36361" w:rsidP="00211C0B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Арендная плата состоит из базовой ставки арендной платы (Постоянная часть арендной платы и Арендная плата от ежемесячной выручки Арендатора) и эксплуатационных расходов. </w:t>
            </w:r>
          </w:p>
          <w:p w:rsidR="00B36361" w:rsidRPr="00B36361" w:rsidRDefault="00B36361" w:rsidP="00B36361">
            <w:pPr>
              <w:autoSpaceDE w:val="0"/>
              <w:autoSpaceDN w:val="0"/>
              <w:adjustRightInd w:val="0"/>
              <w:spacing w:after="0" w:line="233" w:lineRule="auto"/>
              <w:ind w:left="115" w:right="115" w:firstLine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базовой арендной платы: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36361" w:rsidRPr="00B36361" w:rsidRDefault="00B36361" w:rsidP="00B36361">
            <w:pPr>
              <w:autoSpaceDE w:val="0"/>
              <w:autoSpaceDN w:val="0"/>
              <w:adjustRightInd w:val="0"/>
              <w:spacing w:after="0" w:line="233" w:lineRule="auto"/>
              <w:ind w:left="115" w:right="115" w:firstLine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1. Постоянная часть арендной платы:</w:t>
            </w:r>
          </w:p>
          <w:p w:rsidR="00B36361" w:rsidRPr="00B36361" w:rsidRDefault="00B36361" w:rsidP="00B36361">
            <w:pPr>
              <w:widowControl w:val="0"/>
              <w:tabs>
                <w:tab w:val="left" w:pos="709"/>
              </w:tabs>
              <w:spacing w:after="0" w:line="233" w:lineRule="auto"/>
              <w:ind w:firstLine="2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 ежегодный период с «01» октября по «30» апреля в сумме </w:t>
            </w:r>
            <w:r w:rsidRPr="00B36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6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050,00 (двадцать две тысячи пятьдесят) рублей 00 копеек, в том числе НДС, в месяц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Объекты 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(по 7 350,00 (семь тысяч триста пятьдесят) рублей 00 копеек, в том числе НДС, в месяц за один вендинговый аппарат).;</w:t>
            </w:r>
          </w:p>
          <w:p w:rsidR="00B36361" w:rsidRPr="00B36361" w:rsidRDefault="00B36361" w:rsidP="00B36361">
            <w:pPr>
              <w:widowControl w:val="0"/>
              <w:tabs>
                <w:tab w:val="left" w:pos="709"/>
              </w:tabs>
              <w:spacing w:after="0" w:line="233" w:lineRule="auto"/>
              <w:ind w:firstLine="2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 ежегодный период с «01» мая по «30» сентября в сумме </w:t>
            </w:r>
            <w:r w:rsidRPr="00B36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66 450,00 (шестьдесят шесть тысяч четыреста пятьдесят) рублей 00 копеек, в том числе НДС, в месяц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Объекты 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(по 22 150,00 (двадцать две тысячи сто пятьдесят) рублей 00 копеек, в том числе НДС, в месяц за один вендинговый аппарат);</w:t>
            </w:r>
          </w:p>
          <w:p w:rsidR="00B36361" w:rsidRPr="00B36361" w:rsidRDefault="00B36361" w:rsidP="00B36361">
            <w:pPr>
              <w:autoSpaceDE w:val="0"/>
              <w:autoSpaceDN w:val="0"/>
              <w:adjustRightInd w:val="0"/>
              <w:spacing w:after="0" w:line="233" w:lineRule="auto"/>
              <w:ind w:right="115" w:firstLine="2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в дни работы Сочи-Парка по тарифу «Прогулочный режим» арендная плата составляет </w:t>
            </w:r>
            <w:r w:rsidRPr="00B36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6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300,00 (три тысячи триста) рублей 00 копеек, в том числе НДС, в месяц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Объекты 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(по 1 100 (одна тысяча сто) рублей 00 коп., в том числе НДС, в месяц за один вендинговый аппарат).</w:t>
            </w:r>
          </w:p>
          <w:p w:rsidR="00B36361" w:rsidRPr="00B36361" w:rsidRDefault="00B36361" w:rsidP="00E20CBD">
            <w:pPr>
              <w:autoSpaceDE w:val="0"/>
              <w:autoSpaceDN w:val="0"/>
              <w:adjustRightInd w:val="0"/>
              <w:spacing w:after="0" w:line="233" w:lineRule="auto"/>
              <w:ind w:left="115" w:right="115" w:firstLine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Арендная плата от ежемесячной выручки Арендатора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- 25% 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(двадцать пять процентов).</w:t>
            </w:r>
          </w:p>
          <w:p w:rsidR="00B97C3A" w:rsidRPr="007723B4" w:rsidRDefault="00B36361" w:rsidP="00B36361">
            <w:pPr>
              <w:autoSpaceDE w:val="0"/>
              <w:autoSpaceDN w:val="0"/>
              <w:adjustRightInd w:val="0"/>
              <w:spacing w:after="0" w:line="232" w:lineRule="auto"/>
              <w:ind w:righ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Эксплуатационных расходов: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(один) месяц составляет 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36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63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60,00 (триста шестьдесят) рублей 00 копеек, в том числе НДС, в месяц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6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Объекты 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(по 120,00 (сто двадцать) рублей 00 копеек, в том числе НДС, в месяц за один венд</w:t>
            </w:r>
            <w:r w:rsidRPr="00B36361">
              <w:rPr>
                <w:rFonts w:ascii="Times New Roman" w:eastAsia="Times New Roman" w:hAnsi="Times New Roman" w:cs="Times New Roman"/>
              </w:rPr>
              <w:t>инговый аппарат)</w:t>
            </w:r>
            <w:r w:rsidRPr="00B363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0CB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0CB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0CB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0CB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435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354000, Краснодарский край,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0CB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35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0CB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20C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Арендодателю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Арендодатель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2D8" w:rsidRDefault="00C362D8" w:rsidP="0097081F">
      <w:pPr>
        <w:spacing w:after="0" w:line="240" w:lineRule="auto"/>
      </w:pPr>
      <w:r>
        <w:separator/>
      </w:r>
    </w:p>
  </w:endnote>
  <w:end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1618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2D8" w:rsidRDefault="00C362D8" w:rsidP="0097081F">
      <w:pPr>
        <w:spacing w:after="0" w:line="240" w:lineRule="auto"/>
      </w:pPr>
      <w:r>
        <w:separator/>
      </w:r>
    </w:p>
  </w:footnote>
  <w:foot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1C0B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39C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4B8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61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0CBD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C322"/>
  <w15:docId w15:val="{5181522D-CFE6-4869-BF89-99001C1F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25C62-93C7-400B-9210-3B8F4CA1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5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574</cp:revision>
  <cp:lastPrinted>2020-03-20T06:07:00Z</cp:lastPrinted>
  <dcterms:created xsi:type="dcterms:W3CDTF">2015-03-17T16:12:00Z</dcterms:created>
  <dcterms:modified xsi:type="dcterms:W3CDTF">2020-03-20T06:07:00Z</dcterms:modified>
</cp:coreProperties>
</file>